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4E240" w14:textId="31450AB9" w:rsidR="004D451E" w:rsidRDefault="00A062CD">
      <w:pPr>
        <w:spacing w:after="120"/>
      </w:pPr>
      <w:r>
        <w:rPr>
          <w:b/>
          <w:bCs/>
          <w:color w:val="1F3864"/>
          <w:sz w:val="34"/>
          <w:szCs w:val="34"/>
        </w:rPr>
        <w:t>Hoja de ruta</w:t>
      </w:r>
      <w:r w:rsidR="00B271D8">
        <w:rPr>
          <w:b/>
          <w:bCs/>
          <w:color w:val="1F3864"/>
          <w:sz w:val="34"/>
          <w:szCs w:val="34"/>
        </w:rPr>
        <w:t xml:space="preserve"> para la implementación</w:t>
      </w:r>
      <w:r>
        <w:rPr>
          <w:b/>
          <w:bCs/>
          <w:color w:val="1F3864"/>
          <w:sz w:val="34"/>
          <w:szCs w:val="34"/>
        </w:rPr>
        <w:t xml:space="preserve">: </w:t>
      </w:r>
      <w:r w:rsidR="00B271D8">
        <w:rPr>
          <w:b/>
          <w:bCs/>
          <w:color w:val="1F3864"/>
          <w:sz w:val="34"/>
          <w:szCs w:val="34"/>
        </w:rPr>
        <w:t>cumplimiento</w:t>
      </w:r>
      <w:r>
        <w:rPr>
          <w:b/>
          <w:bCs/>
          <w:color w:val="1F3864"/>
          <w:sz w:val="34"/>
          <w:szCs w:val="34"/>
        </w:rPr>
        <w:t xml:space="preserve"> en 8 pasos</w:t>
      </w:r>
    </w:p>
    <w:p w14:paraId="4ED19967" w14:textId="53F31939" w:rsidR="00B271D8" w:rsidRPr="00A10D63" w:rsidRDefault="00B271D8" w:rsidP="00B271D8">
      <w:pPr>
        <w:jc w:val="both"/>
        <w:rPr>
          <w:rFonts w:ascii="Calibri" w:hAnsi="Calibri" w:cs="Calibri"/>
          <w:color w:val="0E2841" w:themeColor="text2"/>
          <w:sz w:val="22"/>
          <w:szCs w:val="22"/>
        </w:rPr>
      </w:pPr>
      <w:r w:rsidRPr="00B271D8">
        <w:rPr>
          <w:i/>
          <w:iCs/>
          <w:color w:val="595959"/>
          <w:sz w:val="22"/>
          <w:szCs w:val="22"/>
        </w:rPr>
        <w:t>RUTA CNC Y MAGLIONA ABOGADOS PARA EL CUMPLIMIENTO DE LA LEY DE DATOS PERSONALES</w:t>
      </w:r>
    </w:p>
    <w:p w14:paraId="78E6DDED" w14:textId="77777777" w:rsidR="004D451E" w:rsidRDefault="00A062CD">
      <w:pPr>
        <w:pBdr>
          <w:left w:val="single" w:sz="24" w:space="10" w:color="5F5E5A"/>
        </w:pBdr>
        <w:shd w:val="clear" w:color="auto" w:fill="F1EFE8"/>
        <w:spacing w:before="240" w:after="20"/>
        <w:ind w:left="100"/>
      </w:pPr>
      <w:r>
        <w:rPr>
          <w:b/>
          <w:bCs/>
          <w:color w:val="444441"/>
          <w:sz w:val="15"/>
          <w:szCs w:val="15"/>
        </w:rPr>
        <w:t>FASE 1 · BASES</w:t>
      </w:r>
    </w:p>
    <w:p w14:paraId="4BDCB3AD" w14:textId="77777777" w:rsidR="004D451E" w:rsidRDefault="00A062CD">
      <w:pPr>
        <w:pBdr>
          <w:left w:val="single" w:sz="24" w:space="10" w:color="5F5E5A"/>
        </w:pBdr>
        <w:shd w:val="clear" w:color="auto" w:fill="F1EFE8"/>
        <w:spacing w:after="20"/>
        <w:ind w:left="100"/>
      </w:pPr>
      <w:r>
        <w:rPr>
          <w:b/>
          <w:bCs/>
          <w:color w:val="1F3864"/>
          <w:sz w:val="25"/>
          <w:szCs w:val="25"/>
        </w:rPr>
        <w:t>Paso 1 — Designar al encargado</w:t>
      </w:r>
    </w:p>
    <w:p w14:paraId="6CE5C0F2" w14:textId="77777777" w:rsidR="004D451E" w:rsidRDefault="00A062CD">
      <w:pPr>
        <w:pBdr>
          <w:left w:val="single" w:sz="24" w:space="10" w:color="5F5E5A"/>
          <w:bottom w:val="single" w:sz="2" w:space="4" w:color="F1EFE8"/>
        </w:pBdr>
        <w:shd w:val="clear" w:color="auto" w:fill="F1EFE8"/>
        <w:spacing w:after="20" w:line="276" w:lineRule="auto"/>
        <w:ind w:left="100"/>
      </w:pPr>
      <w:r>
        <w:rPr>
          <w:sz w:val="22"/>
          <w:szCs w:val="22"/>
        </w:rPr>
        <w:t xml:space="preserve">Designar a un encargado interno para la gestión del cumplimiento. El dueño o administrador podría asumir este rol y, </w:t>
      </w:r>
      <w:proofErr w:type="gramStart"/>
      <w:r>
        <w:rPr>
          <w:sz w:val="22"/>
          <w:szCs w:val="22"/>
        </w:rPr>
        <w:t>de acuerdo a</w:t>
      </w:r>
      <w:proofErr w:type="gramEnd"/>
      <w:r>
        <w:rPr>
          <w:sz w:val="22"/>
          <w:szCs w:val="22"/>
        </w:rPr>
        <w:t xml:space="preserve"> ello, podría más adelante considerar adoptar un Modelo de Prevención de Infracciones voluntario.</w:t>
      </w:r>
    </w:p>
    <w:p w14:paraId="45280098" w14:textId="77777777" w:rsidR="004D451E" w:rsidRDefault="00A062CD">
      <w:pPr>
        <w:pBdr>
          <w:left w:val="single" w:sz="24" w:space="10" w:color="5F5E5A"/>
        </w:pBdr>
        <w:shd w:val="clear" w:color="auto" w:fill="F1EFE8"/>
        <w:ind w:left="100"/>
      </w:pPr>
      <w:r>
        <w:rPr>
          <w:i/>
          <w:iCs/>
          <w:color w:val="595959"/>
          <w:sz w:val="17"/>
          <w:szCs w:val="17"/>
        </w:rPr>
        <w:t>Art. 49 (Modelo de Prevención de Infracciones).</w:t>
      </w:r>
    </w:p>
    <w:p w14:paraId="2AABAAA6" w14:textId="77777777" w:rsidR="004D451E" w:rsidRDefault="00A062CD">
      <w:pPr>
        <w:pBdr>
          <w:left w:val="single" w:sz="24" w:space="10" w:color="5F5E5A"/>
        </w:pBdr>
        <w:shd w:val="clear" w:color="auto" w:fill="F1EFE8"/>
        <w:spacing w:before="240" w:after="20"/>
        <w:ind w:left="100"/>
      </w:pPr>
      <w:r>
        <w:rPr>
          <w:b/>
          <w:bCs/>
          <w:color w:val="444441"/>
          <w:sz w:val="15"/>
          <w:szCs w:val="15"/>
        </w:rPr>
        <w:t>FASE 1 · BASES</w:t>
      </w:r>
    </w:p>
    <w:p w14:paraId="16BE7D92" w14:textId="77777777" w:rsidR="004D451E" w:rsidRDefault="00A062CD">
      <w:pPr>
        <w:pBdr>
          <w:left w:val="single" w:sz="24" w:space="10" w:color="5F5E5A"/>
        </w:pBdr>
        <w:shd w:val="clear" w:color="auto" w:fill="F1EFE8"/>
        <w:spacing w:after="20"/>
        <w:ind w:left="100"/>
      </w:pPr>
      <w:r>
        <w:rPr>
          <w:b/>
          <w:bCs/>
          <w:color w:val="1F3864"/>
          <w:sz w:val="25"/>
          <w:szCs w:val="25"/>
        </w:rPr>
        <w:t>Paso 2 — Mapear la información</w:t>
      </w:r>
    </w:p>
    <w:p w14:paraId="24E406A8" w14:textId="77777777" w:rsidR="004D451E" w:rsidRDefault="00A062CD">
      <w:pPr>
        <w:pBdr>
          <w:left w:val="single" w:sz="24" w:space="10" w:color="5F5E5A"/>
          <w:bottom w:val="single" w:sz="2" w:space="4" w:color="F1EFE8"/>
        </w:pBdr>
        <w:shd w:val="clear" w:color="auto" w:fill="F1EFE8"/>
        <w:spacing w:after="20" w:line="276" w:lineRule="auto"/>
        <w:ind w:left="100"/>
      </w:pPr>
      <w:r>
        <w:rPr>
          <w:sz w:val="22"/>
          <w:szCs w:val="22"/>
        </w:rPr>
        <w:t>Hacer una lista sencilla de qué datos se recolectan (clientes, trabajadores, proveedores) y dónde se guardan, tanto física como digitalmente.</w:t>
      </w:r>
    </w:p>
    <w:p w14:paraId="5AE032D9" w14:textId="77777777" w:rsidR="004D451E" w:rsidRDefault="00A062CD">
      <w:pPr>
        <w:pBdr>
          <w:left w:val="single" w:sz="24" w:space="10" w:color="5F5E5A"/>
        </w:pBdr>
        <w:shd w:val="clear" w:color="auto" w:fill="F1EFE8"/>
        <w:ind w:left="100"/>
      </w:pPr>
      <w:r>
        <w:rPr>
          <w:i/>
          <w:iCs/>
          <w:color w:val="595959"/>
          <w:sz w:val="17"/>
          <w:szCs w:val="17"/>
        </w:rPr>
        <w:t>Corresponde, en la práctica, al Registro de Actividades de Tratamiento (RAT).</w:t>
      </w:r>
    </w:p>
    <w:p w14:paraId="660B842C" w14:textId="77777777" w:rsidR="004D451E" w:rsidRDefault="00A062CD">
      <w:pPr>
        <w:pBdr>
          <w:left w:val="single" w:sz="24" w:space="10" w:color="5F5E5A"/>
        </w:pBdr>
        <w:shd w:val="clear" w:color="auto" w:fill="F1EFE8"/>
        <w:spacing w:before="240" w:after="20"/>
        <w:ind w:left="100"/>
      </w:pPr>
      <w:r>
        <w:rPr>
          <w:b/>
          <w:bCs/>
          <w:color w:val="444441"/>
          <w:sz w:val="15"/>
          <w:szCs w:val="15"/>
        </w:rPr>
        <w:t>FASE 1 · BASES</w:t>
      </w:r>
    </w:p>
    <w:p w14:paraId="62DA87EA" w14:textId="77777777" w:rsidR="004D451E" w:rsidRDefault="00A062CD">
      <w:pPr>
        <w:pBdr>
          <w:left w:val="single" w:sz="24" w:space="10" w:color="5F5E5A"/>
        </w:pBdr>
        <w:shd w:val="clear" w:color="auto" w:fill="F1EFE8"/>
        <w:spacing w:after="20"/>
        <w:ind w:left="100"/>
      </w:pPr>
      <w:r>
        <w:rPr>
          <w:b/>
          <w:bCs/>
          <w:color w:val="1F3864"/>
          <w:sz w:val="25"/>
          <w:szCs w:val="25"/>
        </w:rPr>
        <w:t>Paso 3 — Definir la base legal</w:t>
      </w:r>
    </w:p>
    <w:p w14:paraId="749D067A" w14:textId="77777777" w:rsidR="004D451E" w:rsidRDefault="00A062CD">
      <w:pPr>
        <w:pBdr>
          <w:left w:val="single" w:sz="24" w:space="10" w:color="5F5E5A"/>
          <w:bottom w:val="single" w:sz="2" w:space="4" w:color="F1EFE8"/>
        </w:pBdr>
        <w:shd w:val="clear" w:color="auto" w:fill="F1EFE8"/>
        <w:spacing w:after="20" w:line="276" w:lineRule="auto"/>
        <w:ind w:left="100"/>
      </w:pPr>
      <w:r>
        <w:rPr>
          <w:sz w:val="22"/>
          <w:szCs w:val="22"/>
        </w:rPr>
        <w:t xml:space="preserve">Identificar bajo qué justificación se usan los datos: contrato, ley o consentimiento explícito, sin casillas </w:t>
      </w:r>
      <w:proofErr w:type="spellStart"/>
      <w:r>
        <w:rPr>
          <w:sz w:val="22"/>
          <w:szCs w:val="22"/>
        </w:rPr>
        <w:t>premarcadas</w:t>
      </w:r>
      <w:proofErr w:type="spellEnd"/>
      <w:r>
        <w:rPr>
          <w:sz w:val="22"/>
          <w:szCs w:val="22"/>
        </w:rPr>
        <w:t>.</w:t>
      </w:r>
    </w:p>
    <w:p w14:paraId="470E7ACB" w14:textId="77777777" w:rsidR="004D451E" w:rsidRDefault="00A062CD">
      <w:pPr>
        <w:pBdr>
          <w:left w:val="single" w:sz="24" w:space="10" w:color="5F5E5A"/>
        </w:pBdr>
        <w:shd w:val="clear" w:color="auto" w:fill="F1EFE8"/>
        <w:ind w:left="100"/>
      </w:pPr>
      <w:r>
        <w:rPr>
          <w:i/>
          <w:iCs/>
          <w:color w:val="595959"/>
          <w:sz w:val="17"/>
          <w:szCs w:val="17"/>
        </w:rPr>
        <w:t>Arts. 12 y 13 (bases de licitud del tratamiento).</w:t>
      </w:r>
    </w:p>
    <w:p w14:paraId="11899CFC" w14:textId="77777777" w:rsidR="004D451E" w:rsidRDefault="00A062CD">
      <w:pPr>
        <w:pBdr>
          <w:left w:val="single" w:sz="24" w:space="10" w:color="0F6E56"/>
        </w:pBdr>
        <w:shd w:val="clear" w:color="auto" w:fill="E1F5EE"/>
        <w:spacing w:before="240" w:after="20"/>
        <w:ind w:left="100"/>
      </w:pPr>
      <w:r>
        <w:rPr>
          <w:b/>
          <w:bCs/>
          <w:color w:val="085041"/>
          <w:sz w:val="15"/>
          <w:szCs w:val="15"/>
        </w:rPr>
        <w:t>FASE 2 · DOCUMENTAR Y PROTEGER</w:t>
      </w:r>
    </w:p>
    <w:p w14:paraId="67581DDA" w14:textId="77777777" w:rsidR="004D451E" w:rsidRDefault="00A062CD">
      <w:pPr>
        <w:pBdr>
          <w:left w:val="single" w:sz="24" w:space="10" w:color="0F6E56"/>
        </w:pBdr>
        <w:shd w:val="clear" w:color="auto" w:fill="E1F5EE"/>
        <w:spacing w:after="20"/>
        <w:ind w:left="100"/>
      </w:pPr>
      <w:r>
        <w:rPr>
          <w:b/>
          <w:bCs/>
          <w:color w:val="1F3864"/>
          <w:sz w:val="25"/>
          <w:szCs w:val="25"/>
        </w:rPr>
        <w:t>Paso 4 — Crear la política</w:t>
      </w:r>
    </w:p>
    <w:p w14:paraId="3A7E17C7" w14:textId="77777777" w:rsidR="004D451E" w:rsidRDefault="00A062CD">
      <w:pPr>
        <w:pBdr>
          <w:left w:val="single" w:sz="24" w:space="10" w:color="0F6E56"/>
          <w:bottom w:val="single" w:sz="2" w:space="4" w:color="E1F5EE"/>
        </w:pBdr>
        <w:shd w:val="clear" w:color="auto" w:fill="E1F5EE"/>
        <w:spacing w:after="20" w:line="276" w:lineRule="auto"/>
        <w:ind w:left="100"/>
      </w:pPr>
      <w:r>
        <w:rPr>
          <w:sz w:val="22"/>
          <w:szCs w:val="22"/>
        </w:rPr>
        <w:t>Publicar un texto de política de privacidad claro, visible y gratuito en el e-</w:t>
      </w:r>
      <w:proofErr w:type="spellStart"/>
      <w:r>
        <w:rPr>
          <w:sz w:val="22"/>
          <w:szCs w:val="22"/>
        </w:rPr>
        <w:t>commerce</w:t>
      </w:r>
      <w:proofErr w:type="spellEnd"/>
      <w:r>
        <w:rPr>
          <w:sz w:val="22"/>
          <w:szCs w:val="22"/>
        </w:rPr>
        <w:t xml:space="preserve"> o sitio web del negocio.</w:t>
      </w:r>
    </w:p>
    <w:p w14:paraId="1262F022" w14:textId="77777777" w:rsidR="004D451E" w:rsidRDefault="00A062CD">
      <w:pPr>
        <w:pBdr>
          <w:left w:val="single" w:sz="24" w:space="10" w:color="0F6E56"/>
        </w:pBdr>
        <w:shd w:val="clear" w:color="auto" w:fill="E1F5EE"/>
        <w:ind w:left="100"/>
      </w:pPr>
      <w:r>
        <w:rPr>
          <w:i/>
          <w:iCs/>
          <w:color w:val="595959"/>
          <w:sz w:val="17"/>
          <w:szCs w:val="17"/>
        </w:rPr>
        <w:t>Art. 14 ter (deber de información y transparencia).</w:t>
      </w:r>
    </w:p>
    <w:p w14:paraId="78A2FCB9" w14:textId="77777777" w:rsidR="004D451E" w:rsidRDefault="00A062CD">
      <w:pPr>
        <w:pBdr>
          <w:left w:val="single" w:sz="24" w:space="10" w:color="0F6E56"/>
        </w:pBdr>
        <w:shd w:val="clear" w:color="auto" w:fill="E1F5EE"/>
        <w:spacing w:before="240" w:after="20"/>
        <w:ind w:left="100"/>
      </w:pPr>
      <w:r>
        <w:rPr>
          <w:b/>
          <w:bCs/>
          <w:color w:val="085041"/>
          <w:sz w:val="15"/>
          <w:szCs w:val="15"/>
        </w:rPr>
        <w:t>FASE 2 · DOCUMENTAR Y PROTEGER</w:t>
      </w:r>
    </w:p>
    <w:p w14:paraId="1FC64423" w14:textId="77777777" w:rsidR="004D451E" w:rsidRDefault="00A062CD">
      <w:pPr>
        <w:pBdr>
          <w:left w:val="single" w:sz="24" w:space="10" w:color="0F6E56"/>
        </w:pBdr>
        <w:shd w:val="clear" w:color="auto" w:fill="E1F5EE"/>
        <w:spacing w:after="20"/>
        <w:ind w:left="100"/>
      </w:pPr>
      <w:r>
        <w:rPr>
          <w:b/>
          <w:bCs/>
          <w:color w:val="1F3864"/>
          <w:sz w:val="25"/>
          <w:szCs w:val="25"/>
        </w:rPr>
        <w:t>Paso 5 — Ajustar los contratos</w:t>
      </w:r>
    </w:p>
    <w:p w14:paraId="1430C12B" w14:textId="77777777" w:rsidR="004D451E" w:rsidRDefault="00A062CD">
      <w:pPr>
        <w:pBdr>
          <w:left w:val="single" w:sz="24" w:space="10" w:color="0F6E56"/>
          <w:bottom w:val="single" w:sz="2" w:space="4" w:color="E1F5EE"/>
        </w:pBdr>
        <w:shd w:val="clear" w:color="auto" w:fill="E1F5EE"/>
        <w:spacing w:after="20" w:line="276" w:lineRule="auto"/>
        <w:ind w:left="100"/>
      </w:pPr>
      <w:r>
        <w:rPr>
          <w:sz w:val="22"/>
          <w:szCs w:val="22"/>
        </w:rPr>
        <w:t xml:space="preserve">Firmar anexos legales con el contador, el hosting y la empresa de </w:t>
      </w:r>
      <w:proofErr w:type="spellStart"/>
      <w:r>
        <w:rPr>
          <w:sz w:val="22"/>
          <w:szCs w:val="22"/>
        </w:rPr>
        <w:t>delivery</w:t>
      </w:r>
      <w:proofErr w:type="spellEnd"/>
      <w:r>
        <w:rPr>
          <w:sz w:val="22"/>
          <w:szCs w:val="22"/>
        </w:rPr>
        <w:t xml:space="preserve"> para garantizar sus deberes de confidencialidad, de reporte de incidentes, entre otros.</w:t>
      </w:r>
    </w:p>
    <w:p w14:paraId="2D6F48EB" w14:textId="77777777" w:rsidR="004D451E" w:rsidRDefault="00A062CD">
      <w:pPr>
        <w:pBdr>
          <w:left w:val="single" w:sz="24" w:space="10" w:color="0F6E56"/>
        </w:pBdr>
        <w:shd w:val="clear" w:color="auto" w:fill="E1F5EE"/>
        <w:ind w:left="100"/>
      </w:pPr>
      <w:r>
        <w:rPr>
          <w:i/>
          <w:iCs/>
          <w:color w:val="595959"/>
          <w:sz w:val="17"/>
          <w:szCs w:val="17"/>
        </w:rPr>
        <w:t>Arts. 14 bis y 15 bis (confidencialidad y tratamiento a través de un tercero encargado).</w:t>
      </w:r>
    </w:p>
    <w:p w14:paraId="214D1EFD" w14:textId="77777777" w:rsidR="004D451E" w:rsidRDefault="00A062CD">
      <w:pPr>
        <w:pBdr>
          <w:left w:val="single" w:sz="24" w:space="10" w:color="0F6E56"/>
        </w:pBdr>
        <w:shd w:val="clear" w:color="auto" w:fill="E1F5EE"/>
        <w:spacing w:before="240" w:after="20"/>
        <w:ind w:left="100"/>
      </w:pPr>
      <w:r>
        <w:rPr>
          <w:b/>
          <w:bCs/>
          <w:color w:val="085041"/>
          <w:sz w:val="15"/>
          <w:szCs w:val="15"/>
        </w:rPr>
        <w:t>FASE 2 · DOCUMENTAR Y PROTEGER</w:t>
      </w:r>
    </w:p>
    <w:p w14:paraId="26AA8B8E" w14:textId="77777777" w:rsidR="004D451E" w:rsidRDefault="00A062CD">
      <w:pPr>
        <w:pBdr>
          <w:left w:val="single" w:sz="24" w:space="10" w:color="0F6E56"/>
        </w:pBdr>
        <w:shd w:val="clear" w:color="auto" w:fill="E1F5EE"/>
        <w:spacing w:after="20"/>
        <w:ind w:left="100"/>
      </w:pPr>
      <w:r>
        <w:rPr>
          <w:b/>
          <w:bCs/>
          <w:color w:val="1F3864"/>
          <w:sz w:val="25"/>
          <w:szCs w:val="25"/>
        </w:rPr>
        <w:t>Paso 6 — Asegurar la tecnología</w:t>
      </w:r>
    </w:p>
    <w:p w14:paraId="77B89089" w14:textId="77777777" w:rsidR="004D451E" w:rsidRDefault="00A062CD">
      <w:pPr>
        <w:pBdr>
          <w:left w:val="single" w:sz="24" w:space="10" w:color="0F6E56"/>
          <w:bottom w:val="single" w:sz="2" w:space="4" w:color="E1F5EE"/>
        </w:pBdr>
        <w:shd w:val="clear" w:color="auto" w:fill="E1F5EE"/>
        <w:spacing w:after="20" w:line="276" w:lineRule="auto"/>
        <w:ind w:left="100"/>
      </w:pPr>
      <w:r>
        <w:rPr>
          <w:sz w:val="22"/>
          <w:szCs w:val="22"/>
        </w:rPr>
        <w:t>Cambiar contraseñas genéricas, activar antivirus, parchar sistemas y prohibir el envío de bases de datos por canales informales.</w:t>
      </w:r>
    </w:p>
    <w:p w14:paraId="7E8DE2AF" w14:textId="77777777" w:rsidR="004D451E" w:rsidRDefault="00A062CD">
      <w:pPr>
        <w:pBdr>
          <w:left w:val="single" w:sz="24" w:space="10" w:color="0F6E56"/>
        </w:pBdr>
        <w:shd w:val="clear" w:color="auto" w:fill="E1F5EE"/>
        <w:ind w:left="100"/>
      </w:pPr>
      <w:r>
        <w:rPr>
          <w:i/>
          <w:iCs/>
          <w:color w:val="595959"/>
          <w:sz w:val="17"/>
          <w:szCs w:val="17"/>
        </w:rPr>
        <w:t>Art. 14 quinquies (deber de adoptar medidas de seguridad).</w:t>
      </w:r>
    </w:p>
    <w:p w14:paraId="243E4ACA" w14:textId="77777777" w:rsidR="004D451E" w:rsidRDefault="00A062CD">
      <w:pPr>
        <w:pBdr>
          <w:left w:val="single" w:sz="24" w:space="10" w:color="534AB7"/>
        </w:pBdr>
        <w:shd w:val="clear" w:color="auto" w:fill="EEEDFE"/>
        <w:spacing w:before="240" w:after="20"/>
        <w:ind w:left="100"/>
      </w:pPr>
      <w:r>
        <w:rPr>
          <w:b/>
          <w:bCs/>
          <w:color w:val="3C3489"/>
          <w:sz w:val="15"/>
          <w:szCs w:val="15"/>
        </w:rPr>
        <w:t>FASE 3 · OPERAR</w:t>
      </w:r>
    </w:p>
    <w:p w14:paraId="04C7DA90" w14:textId="77777777" w:rsidR="004D451E" w:rsidRDefault="00A062CD">
      <w:pPr>
        <w:pBdr>
          <w:left w:val="single" w:sz="24" w:space="10" w:color="534AB7"/>
        </w:pBdr>
        <w:shd w:val="clear" w:color="auto" w:fill="EEEDFE"/>
        <w:spacing w:after="20"/>
        <w:ind w:left="100"/>
      </w:pPr>
      <w:r>
        <w:rPr>
          <w:b/>
          <w:bCs/>
          <w:color w:val="1F3864"/>
          <w:sz w:val="25"/>
          <w:szCs w:val="25"/>
        </w:rPr>
        <w:t>Paso 7 — Canal ARCO+ habilitado</w:t>
      </w:r>
    </w:p>
    <w:p w14:paraId="02187C1D" w14:textId="77777777" w:rsidR="004D451E" w:rsidRDefault="00A062CD">
      <w:pPr>
        <w:pBdr>
          <w:left w:val="single" w:sz="24" w:space="10" w:color="534AB7"/>
          <w:bottom w:val="single" w:sz="2" w:space="4" w:color="EEEDFE"/>
        </w:pBdr>
        <w:shd w:val="clear" w:color="auto" w:fill="EEEDFE"/>
        <w:spacing w:after="20" w:line="276" w:lineRule="auto"/>
        <w:ind w:left="100"/>
      </w:pPr>
      <w:r>
        <w:rPr>
          <w:sz w:val="22"/>
          <w:szCs w:val="22"/>
        </w:rPr>
        <w:t>Configurar una casilla de correo electrónico dedicada exclusivamente a atender los reclamos y derechos de los titulares.</w:t>
      </w:r>
    </w:p>
    <w:p w14:paraId="005E280D" w14:textId="77777777" w:rsidR="004D451E" w:rsidRDefault="00A062CD">
      <w:pPr>
        <w:pBdr>
          <w:left w:val="single" w:sz="24" w:space="10" w:color="534AB7"/>
        </w:pBdr>
        <w:shd w:val="clear" w:color="auto" w:fill="EEEDFE"/>
        <w:ind w:left="100"/>
      </w:pPr>
      <w:r>
        <w:rPr>
          <w:i/>
          <w:iCs/>
          <w:color w:val="595959"/>
          <w:sz w:val="17"/>
          <w:szCs w:val="17"/>
        </w:rPr>
        <w:t>Arts. 4 a 11 (derechos del titular de datos).</w:t>
      </w:r>
    </w:p>
    <w:p w14:paraId="37332117" w14:textId="77777777" w:rsidR="004D451E" w:rsidRDefault="00A062CD">
      <w:pPr>
        <w:pBdr>
          <w:left w:val="single" w:sz="24" w:space="10" w:color="534AB7"/>
        </w:pBdr>
        <w:shd w:val="clear" w:color="auto" w:fill="EEEDFE"/>
        <w:spacing w:before="240" w:after="20"/>
        <w:ind w:left="100"/>
      </w:pPr>
      <w:r>
        <w:rPr>
          <w:b/>
          <w:bCs/>
          <w:color w:val="3C3489"/>
          <w:sz w:val="15"/>
          <w:szCs w:val="15"/>
        </w:rPr>
        <w:t>FASE 3 · OPERAR</w:t>
      </w:r>
    </w:p>
    <w:p w14:paraId="3F8939D4" w14:textId="77777777" w:rsidR="004D451E" w:rsidRDefault="00A062CD">
      <w:pPr>
        <w:pBdr>
          <w:left w:val="single" w:sz="24" w:space="10" w:color="534AB7"/>
        </w:pBdr>
        <w:shd w:val="clear" w:color="auto" w:fill="EEEDFE"/>
        <w:spacing w:after="20"/>
        <w:ind w:left="100"/>
      </w:pPr>
      <w:r>
        <w:rPr>
          <w:b/>
          <w:bCs/>
          <w:color w:val="1F3864"/>
          <w:sz w:val="25"/>
          <w:szCs w:val="25"/>
        </w:rPr>
        <w:t>Paso 8 — Capacitar al equipo</w:t>
      </w:r>
    </w:p>
    <w:p w14:paraId="0E7C58BA" w14:textId="77777777" w:rsidR="004D451E" w:rsidRDefault="00A062CD">
      <w:pPr>
        <w:pBdr>
          <w:left w:val="single" w:sz="24" w:space="10" w:color="534AB7"/>
          <w:bottom w:val="single" w:sz="2" w:space="4" w:color="EEEDFE"/>
        </w:pBdr>
        <w:shd w:val="clear" w:color="auto" w:fill="EEEDFE"/>
        <w:spacing w:after="20" w:line="276" w:lineRule="auto"/>
        <w:ind w:left="100"/>
      </w:pPr>
      <w:r>
        <w:rPr>
          <w:sz w:val="22"/>
          <w:szCs w:val="22"/>
        </w:rPr>
        <w:t>Entrenar a los trabajadores en reglas básicas de cuidado y recordarles su deber legal de secreto o confidencialidad.</w:t>
      </w:r>
    </w:p>
    <w:p w14:paraId="56A0F5B7" w14:textId="7B890C81" w:rsidR="004D451E" w:rsidRDefault="00A062CD" w:rsidP="00B271D8">
      <w:pPr>
        <w:pBdr>
          <w:left w:val="single" w:sz="24" w:space="10" w:color="534AB7"/>
        </w:pBdr>
        <w:shd w:val="clear" w:color="auto" w:fill="EEEDFE"/>
        <w:ind w:left="100"/>
      </w:pPr>
      <w:r>
        <w:rPr>
          <w:i/>
          <w:iCs/>
          <w:color w:val="595959"/>
          <w:sz w:val="17"/>
          <w:szCs w:val="17"/>
        </w:rPr>
        <w:t>Art. 14 bis (deber de secreto o confidencialidad).</w:t>
      </w:r>
    </w:p>
    <w:sectPr w:rsidR="004D451E">
      <w:pgSz w:w="12240" w:h="15840"/>
      <w:pgMar w:top="1000" w:right="1200" w:bottom="10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82824"/>
    <w:multiLevelType w:val="hybridMultilevel"/>
    <w:tmpl w:val="6CDCC8EA"/>
    <w:lvl w:ilvl="0" w:tplc="32AC6BEC">
      <w:start w:val="1"/>
      <w:numFmt w:val="bullet"/>
      <w:lvlText w:val="●"/>
      <w:lvlJc w:val="left"/>
      <w:pPr>
        <w:ind w:left="720" w:hanging="360"/>
      </w:pPr>
    </w:lvl>
    <w:lvl w:ilvl="1" w:tplc="C120766E">
      <w:start w:val="1"/>
      <w:numFmt w:val="bullet"/>
      <w:lvlText w:val="○"/>
      <w:lvlJc w:val="left"/>
      <w:pPr>
        <w:ind w:left="1440" w:hanging="360"/>
      </w:pPr>
    </w:lvl>
    <w:lvl w:ilvl="2" w:tplc="BB7862E4">
      <w:start w:val="1"/>
      <w:numFmt w:val="bullet"/>
      <w:lvlText w:val="■"/>
      <w:lvlJc w:val="left"/>
      <w:pPr>
        <w:ind w:left="2160" w:hanging="360"/>
      </w:pPr>
    </w:lvl>
    <w:lvl w:ilvl="3" w:tplc="63EE1C08">
      <w:start w:val="1"/>
      <w:numFmt w:val="bullet"/>
      <w:lvlText w:val="●"/>
      <w:lvlJc w:val="left"/>
      <w:pPr>
        <w:ind w:left="2880" w:hanging="360"/>
      </w:pPr>
    </w:lvl>
    <w:lvl w:ilvl="4" w:tplc="AD98315E">
      <w:start w:val="1"/>
      <w:numFmt w:val="bullet"/>
      <w:lvlText w:val="○"/>
      <w:lvlJc w:val="left"/>
      <w:pPr>
        <w:ind w:left="3600" w:hanging="360"/>
      </w:pPr>
    </w:lvl>
    <w:lvl w:ilvl="5" w:tplc="2B141E32">
      <w:start w:val="1"/>
      <w:numFmt w:val="bullet"/>
      <w:lvlText w:val="■"/>
      <w:lvlJc w:val="left"/>
      <w:pPr>
        <w:ind w:left="4320" w:hanging="360"/>
      </w:pPr>
    </w:lvl>
    <w:lvl w:ilvl="6" w:tplc="B58C6C32">
      <w:start w:val="1"/>
      <w:numFmt w:val="bullet"/>
      <w:lvlText w:val="●"/>
      <w:lvlJc w:val="left"/>
      <w:pPr>
        <w:ind w:left="5040" w:hanging="360"/>
      </w:pPr>
    </w:lvl>
    <w:lvl w:ilvl="7" w:tplc="1B6A1ECE">
      <w:start w:val="1"/>
      <w:numFmt w:val="bullet"/>
      <w:lvlText w:val="●"/>
      <w:lvlJc w:val="left"/>
      <w:pPr>
        <w:ind w:left="5760" w:hanging="360"/>
      </w:pPr>
    </w:lvl>
    <w:lvl w:ilvl="8" w:tplc="13CCE0D0">
      <w:start w:val="1"/>
      <w:numFmt w:val="bullet"/>
      <w:lvlText w:val="●"/>
      <w:lvlJc w:val="left"/>
      <w:pPr>
        <w:ind w:left="6480" w:hanging="360"/>
      </w:pPr>
    </w:lvl>
  </w:abstractNum>
  <w:num w:numId="1" w16cid:durableId="9959577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51E"/>
    <w:rsid w:val="00362CF4"/>
    <w:rsid w:val="004D451E"/>
    <w:rsid w:val="008964B0"/>
    <w:rsid w:val="00A062CD"/>
    <w:rsid w:val="00B271D8"/>
    <w:rsid w:val="00CC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4F2AB"/>
  <w15:docId w15:val="{FC858B1E-F550-45FF-B87A-B3FFFE2B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1829</Characters>
  <Application>Microsoft Office Word</Application>
  <DocSecurity>4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Sebastian Hurtado</cp:lastModifiedBy>
  <cp:revision>2</cp:revision>
  <dcterms:created xsi:type="dcterms:W3CDTF">2026-10-06T00:59:00Z</dcterms:created>
  <dcterms:modified xsi:type="dcterms:W3CDTF">2026-10-06T00:59:00Z</dcterms:modified>
</cp:coreProperties>
</file>